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p>
      <w:pPr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w:t>北京建筑大学</w:t>
      </w:r>
      <w:r>
        <w:rPr>
          <w:rFonts w:ascii="楷体" w:hAnsi="楷体" w:eastAsia="楷体"/>
          <w:sz w:val="24"/>
          <w:szCs w:val="24"/>
          <w:highlight w:val="none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  <w:highlight w:val="none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〕第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16</w:t>
      </w:r>
      <w:r>
        <w:rPr>
          <w:rFonts w:ascii="楷体" w:hAnsi="楷体" w:eastAsia="楷体"/>
          <w:sz w:val="24"/>
          <w:szCs w:val="24"/>
          <w:highlight w:val="none"/>
        </w:rPr>
        <w:t>期，总第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22</w:t>
      </w:r>
      <w:r>
        <w:rPr>
          <w:rFonts w:ascii="楷体" w:hAnsi="楷体" w:eastAsia="楷体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  <w:highlight w:val="none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  <w:highlight w:val="none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检查时间：2021年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等线" w:hAnsi="等线" w:eastAsia="等线" w:cs="等线"/>
          <w:sz w:val="28"/>
          <w:szCs w:val="28"/>
          <w:highlight w:val="none"/>
        </w:rPr>
        <w:t>月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19日—23日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检查范围：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建筑学院、土木学院、环能学院、电信学院、机电学院</w:t>
      </w:r>
    </w:p>
    <w:p>
      <w:pPr>
        <w:ind w:left="1400" w:hanging="1400" w:hangingChars="500"/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检查内容：暑期开放实验室、夜间运行实验室安全检查</w:t>
      </w:r>
    </w:p>
    <w:p>
      <w:pPr>
        <w:jc w:val="left"/>
        <w:rPr>
          <w:rFonts w:hint="default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检查工作人员：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刘蔚、焦驰宇、王梦、赵子彦</w:t>
      </w:r>
    </w:p>
    <w:p>
      <w:pPr>
        <w:jc w:val="lef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各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二级单位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：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确保暑假期间实验室安全有序运行，国资处于7月19日至23日对两校区暑期开放实验室及夜间运行实验室进行安全检查。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检查发现个别实验室在未经审批的情况下开展夜间实验，请相关单位督促其尽快递交申请材料（附件1），通过审批后严格按照《夜间运行实验室管理实施细则》（国资字〔2021〕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21号）落实安全管理要求。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现将新增隐患列于表1，请相关实验室高度重视，尽快提交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《北京建筑大学实验室安全隐患整改报告单》（附件2）并切实落实整改措施，其他实验室引以为鉴，杜绝出现类似安全隐患。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2021年7月26日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ascii="楷体" w:hAnsi="楷体" w:eastAsia="楷体"/>
          <w:sz w:val="28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实验室安全检查记录</w:t>
      </w:r>
    </w:p>
    <w:tbl>
      <w:tblPr>
        <w:tblStyle w:val="3"/>
        <w:tblW w:w="87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962"/>
        <w:gridCol w:w="794"/>
        <w:gridCol w:w="979"/>
        <w:gridCol w:w="1359"/>
        <w:gridCol w:w="1147"/>
        <w:gridCol w:w="1165"/>
        <w:gridCol w:w="10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土木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建材楼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404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实验台杂乱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6" name="图片 6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7" name="图片 7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土木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建材楼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404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存放饮用水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土木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建材楼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404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化学品未入柜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土木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建材楼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学生做实验时未穿实验服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长时间不锁门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长时间不锁门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开展夜间实验未报批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杂物堆积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2021.7.30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8" name="图片 8" descr="微信图片_2021072609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107260913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9" name="图片 9" descr="微信图片_2021072609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107260914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  <w:t>附件1：</w:t>
      </w:r>
    </w:p>
    <w:p>
      <w:pPr>
        <w:pStyle w:val="2"/>
        <w:shd w:val="clear" w:color="auto" w:fill="FFFFFF"/>
        <w:spacing w:line="420" w:lineRule="atLeast"/>
        <w:ind w:firstLine="1687" w:firstLineChars="600"/>
        <w:jc w:val="both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北京建筑大学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XX学院夜间运行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实验室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申请单</w:t>
      </w:r>
    </w:p>
    <w:tbl>
      <w:tblPr>
        <w:tblStyle w:val="3"/>
        <w:tblW w:w="912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810"/>
        <w:gridCol w:w="2212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  <w:r>
              <w:rPr>
                <w:sz w:val="21"/>
                <w:szCs w:val="21"/>
              </w:rPr>
              <w:t>人姓名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6" w:type="dxa"/>
            <w:gridSpan w:val="2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（本科生</w:t>
            </w:r>
            <w:r>
              <w:rPr>
                <w:sz w:val="21"/>
                <w:szCs w:val="21"/>
              </w:rPr>
              <w:t>、硕士生、博士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sz w:val="21"/>
                <w:szCs w:val="21"/>
              </w:rPr>
              <w:t>博后、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教师、</w:t>
            </w:r>
            <w:r>
              <w:rPr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</w:rPr>
              <w:t>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学号/教工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  <w:r>
              <w:rPr>
                <w:sz w:val="21"/>
                <w:szCs w:val="21"/>
              </w:rPr>
              <w:t>号（</w:t>
            </w:r>
            <w:r>
              <w:rPr>
                <w:rFonts w:hint="eastAsia"/>
                <w:sz w:val="21"/>
                <w:szCs w:val="21"/>
              </w:rPr>
              <w:t>24小时畅通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夜间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值守或巡查人员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  <w:r>
              <w:rPr>
                <w:sz w:val="21"/>
                <w:szCs w:val="21"/>
              </w:rPr>
              <w:t>号（</w:t>
            </w:r>
            <w:r>
              <w:rPr>
                <w:rFonts w:hint="eastAsia"/>
                <w:sz w:val="21"/>
                <w:szCs w:val="21"/>
              </w:rPr>
              <w:t>24小时畅通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240" w:lineRule="auto"/>
              <w:ind w:left="420" w:hanging="420" w:hangingChars="2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指导老师/导师</w:t>
            </w:r>
          </w:p>
          <w:p>
            <w:pPr>
              <w:pStyle w:val="2"/>
              <w:spacing w:line="240" w:lineRule="auto"/>
              <w:ind w:left="420" w:hanging="420" w:hangingChars="20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高风险填此项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校区-楼名-房间号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设置有效烟感报警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设置有效监控设施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实验室分类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实验室分级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是否为高风险夜间运行实验室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实验时间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ind w:firstLine="1050" w:firstLineChars="5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   时   分至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实验内容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（名称或方程式、原料</w:t>
            </w:r>
            <w:r>
              <w:rPr>
                <w:sz w:val="21"/>
                <w:szCs w:val="21"/>
              </w:rPr>
              <w:t>、产物、副产物、</w:t>
            </w:r>
            <w:r>
              <w:rPr>
                <w:rFonts w:hint="eastAsia"/>
                <w:sz w:val="21"/>
                <w:szCs w:val="21"/>
              </w:rPr>
              <w:t>溶剂、规模、反应温度等）</w:t>
            </w:r>
          </w:p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注意事项、</w:t>
            </w:r>
            <w:r>
              <w:rPr>
                <w:sz w:val="21"/>
                <w:szCs w:val="21"/>
              </w:rPr>
              <w:t>预防措施</w:t>
            </w:r>
          </w:p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（含</w:t>
            </w:r>
            <w:r>
              <w:rPr>
                <w:sz w:val="21"/>
                <w:szCs w:val="21"/>
              </w:rPr>
              <w:t>安全承诺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jc w:val="both"/>
            </w:pPr>
          </w:p>
          <w:p>
            <w:pPr>
              <w:pStyle w:val="2"/>
              <w:spacing w:line="420" w:lineRule="atLeast"/>
              <w:jc w:val="both"/>
              <w:rPr>
                <w:rFonts w:hint="eastAsia"/>
              </w:rPr>
            </w:pPr>
          </w:p>
          <w:p>
            <w:pPr>
              <w:pStyle w:val="2"/>
              <w:spacing w:line="420" w:lineRule="atLeast"/>
              <w:jc w:val="both"/>
            </w:pPr>
          </w:p>
          <w:p>
            <w:pPr>
              <w:pStyle w:val="2"/>
              <w:spacing w:line="420" w:lineRule="atLeas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/>
                <w:sz w:val="21"/>
                <w:szCs w:val="21"/>
              </w:rPr>
              <w:t>负责人</w:t>
            </w:r>
          </w:p>
          <w:p>
            <w:pPr>
              <w:pStyle w:val="2"/>
              <w:spacing w:line="42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ind w:right="73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风险分析、安全措施评估等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pStyle w:val="2"/>
              <w:spacing w:line="420" w:lineRule="atLeast"/>
              <w:ind w:right="735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line="420" w:lineRule="atLeast"/>
              <w:ind w:right="735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spacing w:line="420" w:lineRule="atLeast"/>
              <w:ind w:right="735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wordWrap w:val="0"/>
              <w:spacing w:line="420" w:lineRule="atLeast"/>
              <w:ind w:right="1470" w:firstLine="315" w:firstLineChars="15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联系电话： 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签字：</w:t>
            </w:r>
          </w:p>
          <w:p>
            <w:pPr>
              <w:pStyle w:val="2"/>
              <w:spacing w:line="420" w:lineRule="atLeast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实验室工作分管负责人意见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ind w:right="735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spacing w:line="420" w:lineRule="atLeast"/>
              <w:ind w:right="735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  <w:p>
            <w:pPr>
              <w:pStyle w:val="2"/>
              <w:spacing w:line="420" w:lineRule="atLeast"/>
              <w:ind w:right="735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00" w:type="dxa"/>
            <w:noWrap w:val="0"/>
            <w:vAlign w:val="center"/>
          </w:tcPr>
          <w:p>
            <w:pPr>
              <w:pStyle w:val="2"/>
              <w:spacing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二级单位负责人意见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pStyle w:val="2"/>
              <w:spacing w:line="420" w:lineRule="atLeast"/>
              <w:ind w:right="735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  <w:p>
            <w:pPr>
              <w:pStyle w:val="2"/>
              <w:spacing w:line="420" w:lineRule="atLeast"/>
              <w:ind w:right="735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日</w:t>
            </w:r>
          </w:p>
        </w:tc>
      </w:tr>
    </w:tbl>
    <w:p>
      <w:pPr>
        <w:ind w:firstLine="270" w:firstLineChars="150"/>
        <w:jc w:val="left"/>
        <w:rPr>
          <w:sz w:val="18"/>
          <w:szCs w:val="21"/>
        </w:rPr>
      </w:pPr>
      <w:r>
        <w:rPr>
          <w:rFonts w:hint="eastAsia"/>
          <w:sz w:val="18"/>
          <w:szCs w:val="18"/>
        </w:rPr>
        <w:t>说明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21"/>
        </w:rPr>
        <w:t>一式</w:t>
      </w:r>
      <w:r>
        <w:rPr>
          <w:rFonts w:hint="eastAsia"/>
          <w:sz w:val="18"/>
          <w:szCs w:val="21"/>
          <w:lang w:val="en-US" w:eastAsia="zh-CN"/>
        </w:rPr>
        <w:t>三</w:t>
      </w:r>
      <w:r>
        <w:rPr>
          <w:rFonts w:hint="eastAsia"/>
          <w:sz w:val="18"/>
          <w:szCs w:val="21"/>
        </w:rPr>
        <w:t>份</w:t>
      </w:r>
      <w:r>
        <w:rPr>
          <w:sz w:val="18"/>
          <w:szCs w:val="21"/>
        </w:rPr>
        <w:t>（</w:t>
      </w:r>
      <w:r>
        <w:rPr>
          <w:rFonts w:hint="eastAsia"/>
          <w:sz w:val="18"/>
          <w:szCs w:val="21"/>
        </w:rPr>
        <w:t>一份张贴于实验室门上；</w:t>
      </w:r>
      <w:r>
        <w:rPr>
          <w:rFonts w:hint="eastAsia"/>
          <w:sz w:val="18"/>
          <w:szCs w:val="21"/>
          <w:lang w:val="en-US" w:eastAsia="zh-CN"/>
        </w:rPr>
        <w:t>一份二级单位备案；</w:t>
      </w:r>
      <w:r>
        <w:rPr>
          <w:rFonts w:hint="eastAsia"/>
          <w:sz w:val="18"/>
          <w:szCs w:val="21"/>
        </w:rPr>
        <w:t>一份报国资处备案</w:t>
      </w:r>
      <w:r>
        <w:rPr>
          <w:sz w:val="18"/>
          <w:szCs w:val="21"/>
        </w:rPr>
        <w:t>）</w:t>
      </w:r>
    </w:p>
    <w:p>
      <w:pPr>
        <w:jc w:val="left"/>
        <w:rPr>
          <w:rFonts w:hint="eastAsia" w:eastAsia="宋体"/>
          <w:sz w:val="18"/>
          <w:szCs w:val="21"/>
          <w:lang w:eastAsia="zh-CN"/>
        </w:rPr>
      </w:pPr>
      <w:r>
        <w:rPr>
          <w:rFonts w:hint="eastAsia" w:eastAsia="宋体"/>
          <w:sz w:val="18"/>
          <w:szCs w:val="21"/>
          <w:lang w:eastAsia="zh-CN"/>
        </w:rPr>
        <w:drawing>
          <wp:inline distT="0" distB="0" distL="114300" distR="114300">
            <wp:extent cx="5237480" cy="3723005"/>
            <wp:effectExtent l="0" t="0" r="1270" b="10795"/>
            <wp:docPr id="1" name="图片 1" descr="0dac38321c1cc0e7dc297feeeb24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ac38321c1cc0e7dc297feeeb2467c"/>
                    <pic:cNvPicPr>
                      <a:picLocks noChangeAspect="1"/>
                    </pic:cNvPicPr>
                  </pic:nvPicPr>
                  <pic:blipFill>
                    <a:blip r:embed="rId9"/>
                    <a:srcRect r="674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夜间运行实验室标识参考图</w:t>
      </w: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XXXX学院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实验室安全隐患整改报告单</w:t>
      </w:r>
    </w:p>
    <w:p>
      <w:pPr>
        <w:ind w:firstLine="560" w:firstLineChars="200"/>
        <w:jc w:val="both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>针对xx年xx期安全检查通报，我单位组织各部门、相关负责人制定XXX整改方案，整改措施及整改方案如下：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通报问题：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1、通报房间号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2、整改措施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3、整改前情况（可附图）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整改后情况（可附图）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（此表可增行）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实验室负责人（签字）       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XXXX学院（盖章）</w:t>
      </w:r>
    </w:p>
    <w:p>
      <w:pPr>
        <w:ind w:firstLine="560" w:firstLineChars="200"/>
        <w:jc w:val="righ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劲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1BB2231"/>
    <w:rsid w:val="04762130"/>
    <w:rsid w:val="04E63198"/>
    <w:rsid w:val="0717727A"/>
    <w:rsid w:val="0AC0375B"/>
    <w:rsid w:val="0E387FF2"/>
    <w:rsid w:val="10FD107F"/>
    <w:rsid w:val="13555AF3"/>
    <w:rsid w:val="164A1DB7"/>
    <w:rsid w:val="19B26330"/>
    <w:rsid w:val="1B313343"/>
    <w:rsid w:val="1BF06014"/>
    <w:rsid w:val="1C5F62D8"/>
    <w:rsid w:val="1E71613D"/>
    <w:rsid w:val="1E8F3403"/>
    <w:rsid w:val="21BE6583"/>
    <w:rsid w:val="23C70972"/>
    <w:rsid w:val="250A2143"/>
    <w:rsid w:val="25E438E8"/>
    <w:rsid w:val="269936B5"/>
    <w:rsid w:val="2BA61539"/>
    <w:rsid w:val="302A31A4"/>
    <w:rsid w:val="315248EC"/>
    <w:rsid w:val="33281B72"/>
    <w:rsid w:val="35575444"/>
    <w:rsid w:val="37471F02"/>
    <w:rsid w:val="42183BB4"/>
    <w:rsid w:val="42942910"/>
    <w:rsid w:val="43EE45EB"/>
    <w:rsid w:val="45A869F3"/>
    <w:rsid w:val="45E719DB"/>
    <w:rsid w:val="47F20AEF"/>
    <w:rsid w:val="4CC865C5"/>
    <w:rsid w:val="537A390F"/>
    <w:rsid w:val="55906A16"/>
    <w:rsid w:val="5DE62F9D"/>
    <w:rsid w:val="69A669A4"/>
    <w:rsid w:val="6D6C1F8A"/>
    <w:rsid w:val="7515187F"/>
    <w:rsid w:val="78370DF4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2021-07-26T01:32:53Z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8348607E86DC48559FFF2F89D96083DC</vt:lpwstr>
  </property>
</Properties>
</file>