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实验室安全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  <w:lang w:val="en-US" w:eastAsia="zh-CN"/>
        </w:rPr>
        <w:t>检查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通报</w:t>
      </w:r>
    </w:p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p>
      <w:pPr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w:t>北京建筑大学</w:t>
      </w:r>
      <w:r>
        <w:rPr>
          <w:rFonts w:ascii="楷体" w:hAnsi="楷体" w:eastAsia="楷体"/>
          <w:sz w:val="24"/>
          <w:szCs w:val="24"/>
          <w:highlight w:val="none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  <w:highlight w:val="none"/>
        </w:rPr>
        <w:t>21</w:t>
      </w:r>
      <w:r>
        <w:rPr>
          <w:rFonts w:ascii="楷体" w:hAnsi="楷体" w:eastAsia="楷体"/>
          <w:sz w:val="24"/>
          <w:szCs w:val="24"/>
          <w:highlight w:val="none"/>
        </w:rPr>
        <w:t>〕第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19</w:t>
      </w:r>
      <w:r>
        <w:rPr>
          <w:rFonts w:ascii="楷体" w:hAnsi="楷体" w:eastAsia="楷体"/>
          <w:sz w:val="24"/>
          <w:szCs w:val="24"/>
          <w:highlight w:val="none"/>
        </w:rPr>
        <w:t>期，总第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25</w:t>
      </w:r>
      <w:r>
        <w:rPr>
          <w:rFonts w:ascii="楷体" w:hAnsi="楷体" w:eastAsia="楷体"/>
          <w:sz w:val="24"/>
          <w:szCs w:val="24"/>
          <w:highlight w:val="none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  <w:highlight w:val="none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  <w:highlight w:val="none"/>
        </w:rPr>
      </w:pPr>
    </w:p>
    <w:p>
      <w:pPr>
        <w:tabs>
          <w:tab w:val="right" w:pos="8306"/>
        </w:tabs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检查时间：2021年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等线" w:hAnsi="等线" w:eastAsia="等线" w:cs="等线"/>
          <w:sz w:val="28"/>
          <w:szCs w:val="28"/>
          <w:highlight w:val="none"/>
        </w:rPr>
        <w:t>月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9日—13日</w:t>
      </w:r>
    </w:p>
    <w:p>
      <w:pPr>
        <w:tabs>
          <w:tab w:val="right" w:pos="8306"/>
        </w:tabs>
        <w:ind w:left="1400" w:hanging="1400" w:hangingChars="500"/>
        <w:rPr>
          <w:rFonts w:hint="default" w:ascii="等线" w:hAnsi="等线" w:eastAsia="等线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检查范围：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建筑学院、土木学院、环能学院、电信学院、机电学院</w:t>
      </w:r>
    </w:p>
    <w:p>
      <w:pPr>
        <w:ind w:left="1400" w:hanging="1400" w:hangingChars="500"/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cs="等线"/>
          <w:sz w:val="28"/>
          <w:szCs w:val="28"/>
          <w:highlight w:val="none"/>
          <w:lang w:val="en-US" w:eastAsia="zh-CN"/>
        </w:rPr>
        <w:t>检查内容：暑期开放实验室及研修室、夜间运行实验室安全检查</w:t>
      </w:r>
    </w:p>
    <w:p>
      <w:pPr>
        <w:jc w:val="left"/>
        <w:rPr>
          <w:rFonts w:hint="default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检查工作人员：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刘蔚、焦驰宇、王梦、赵子彦</w:t>
      </w:r>
      <w:bookmarkStart w:id="0" w:name="_GoBack"/>
      <w:bookmarkEnd w:id="0"/>
    </w:p>
    <w:p>
      <w:pPr>
        <w:jc w:val="left"/>
        <w:rPr>
          <w:rFonts w:hint="eastAsia" w:ascii="楷体" w:hAnsi="楷体" w:eastAsia="楷体" w:cs="楷体"/>
          <w:sz w:val="22"/>
          <w:szCs w:val="22"/>
          <w:highlight w:val="none"/>
        </w:rPr>
      </w:pPr>
    </w:p>
    <w:p>
      <w:pPr>
        <w:jc w:val="lef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各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二级单位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：</w:t>
      </w:r>
    </w:p>
    <w:p>
      <w:pPr>
        <w:ind w:firstLine="560" w:firstLineChars="200"/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为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确保暑假期间实验室安全有序运行，国资处于8月9日至13日对两校区暑期开放实验室、研修室及夜间运行实验室进行安全检查。现将新增隐患列于表1，请相关实验室高度重视，尽快提交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《北京建筑大学实验室安全隐患整改报告单》（附件1）并切实落实整改措施，其他实验室引以为鉴，杜绝出现类似安全隐患。</w:t>
      </w:r>
    </w:p>
    <w:p>
      <w:pPr>
        <w:jc w:val="right"/>
        <w:rPr>
          <w:rFonts w:hint="eastAsia" w:ascii="楷体" w:hAnsi="楷体" w:eastAsia="楷体" w:cs="楷体"/>
          <w:sz w:val="22"/>
          <w:szCs w:val="22"/>
          <w:highlight w:val="none"/>
          <w:lang w:val="en-US" w:eastAsia="zh-CN"/>
        </w:rPr>
      </w:pPr>
    </w:p>
    <w:p>
      <w:pPr>
        <w:jc w:val="righ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国有资产与实验室管理处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2021年8月16日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ascii="楷体" w:hAnsi="楷体" w:eastAsia="楷体"/>
          <w:sz w:val="28"/>
          <w:szCs w:val="32"/>
          <w:highlight w:val="none"/>
        </w:rPr>
      </w:pPr>
      <w:r>
        <w:rPr>
          <w:rFonts w:hint="eastAsia" w:ascii="楷体" w:hAnsi="楷体" w:eastAsia="楷体"/>
          <w:sz w:val="28"/>
          <w:szCs w:val="32"/>
          <w:highlight w:val="none"/>
        </w:rPr>
        <w:t>表1：</w:t>
      </w:r>
    </w:p>
    <w:p>
      <w:pPr>
        <w:jc w:val="center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实验室</w:t>
      </w: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与研修室</w:t>
      </w:r>
      <w:r>
        <w:rPr>
          <w:rFonts w:hint="eastAsia" w:ascii="楷体" w:hAnsi="楷体" w:eastAsia="楷体"/>
          <w:sz w:val="32"/>
          <w:szCs w:val="32"/>
          <w:highlight w:val="none"/>
        </w:rPr>
        <w:t>安全检查记录</w:t>
      </w:r>
    </w:p>
    <w:tbl>
      <w:tblPr>
        <w:tblStyle w:val="3"/>
        <w:tblW w:w="876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06"/>
        <w:gridCol w:w="962"/>
        <w:gridCol w:w="794"/>
        <w:gridCol w:w="979"/>
        <w:gridCol w:w="1359"/>
        <w:gridCol w:w="1147"/>
        <w:gridCol w:w="1165"/>
        <w:gridCol w:w="1071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复查时间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试剂无标签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1" name="图片 1" descr="54ed521d271e35668ea44e5917930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4ed521d271e35668ea44e59179308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酒石酸锑钾（危化）与普通化学品混放、硝酸钾（易制爆）未存入专用试剂柜、未上锁、与普通化学品混放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26415" cy="702310"/>
                  <wp:effectExtent l="0" t="0" r="6985" b="2540"/>
                  <wp:docPr id="2" name="图片 2" descr="2f087d77a66dac3c57f957e6c264f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f087d77a66dac3c57f957e6c264f7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26415" cy="702310"/>
                  <wp:effectExtent l="0" t="0" r="6985" b="2540"/>
                  <wp:docPr id="3" name="图片 3" descr="f8a816212b2e1f351160cc176da88d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f8a816212b2e1f351160cc176da88da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废液桶无标签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4" name="图片 4" descr="59478eac7d3cd918f918d3c5b9d530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59478eac7d3cd918f918d3c5b9d530a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氧气瓶未固定、无使用状态标识、备用气瓶无气瓶帽且缺少1条减震圈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26415" cy="702310"/>
                  <wp:effectExtent l="0" t="0" r="6985" b="2540"/>
                  <wp:docPr id="5" name="图片 5" descr="f798d7108a57c0a4ae542990de72ff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f798d7108a57c0a4ae542990de72ff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415" cy="702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门上未张贴夜间运行实验室标识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实验2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烘箱周边未张贴高温警示标识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6" name="图片 6" descr="edcf0e58a76565945ea9d28c7d18f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edcf0e58a76565945ea9d28c7d18f8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102（研修室）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使用非标插线板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7" name="图片 7" descr="11d27fe17e710d9bc743b85ae387cd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11d27fe17e710d9bc743b85ae387cd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8" name="图片 8" descr="68b77149eb1b05ae7561293c84feec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68b77149eb1b05ae7561293c84feecf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化学品未分类存储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9" name="图片 9" descr="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环境杂乱，实验台面堆放衣物、废纸、废手套口罩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drawing>
                <wp:inline distT="0" distB="0" distL="114300" distR="114300">
                  <wp:extent cx="534670" cy="401320"/>
                  <wp:effectExtent l="0" t="0" r="17780" b="17780"/>
                  <wp:docPr id="10" name="图片 10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1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" cy="401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气瓶未张贴状态标识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缺少实验室暑期使用记录、值日记录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实验废物、废液未集中隔离存放 废液桶未张贴废液警示标签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学生未穿实验服，研修空间与实验空间未区分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环能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缺少实验室暑期使用记录、值日记录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2021.8.20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2"/>
          <w:highlight w:val="none"/>
          <w:lang w:val="en-US" w:eastAsia="zh-CN"/>
        </w:rPr>
        <w:t>附件1：</w:t>
      </w:r>
    </w:p>
    <w:p>
      <w:pPr>
        <w:jc w:val="center"/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XXXX学院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highlight w:val="none"/>
          <w:lang w:val="en-US" w:eastAsia="zh-CN"/>
        </w:rPr>
        <w:t>实验室安全隐患整改报告单</w:t>
      </w:r>
    </w:p>
    <w:p>
      <w:pPr>
        <w:ind w:firstLine="560" w:firstLineChars="200"/>
        <w:jc w:val="both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>针对xx年xx期安全检查通报，我单位组织各部门、相关负责人制定XXX整改方案，整改措施及整改方案如下：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通报问题：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1、通报房间号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2、整改措施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3、整改前情况（可附图）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整改后情况（可附图）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（此表可增行）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实验室负责人（签字）       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XXXX学院（盖章）</w:t>
      </w:r>
    </w:p>
    <w:p>
      <w:pPr>
        <w:ind w:firstLine="560" w:firstLineChars="200"/>
        <w:jc w:val="righ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613D"/>
    <w:rsid w:val="01BB2231"/>
    <w:rsid w:val="04762130"/>
    <w:rsid w:val="04E63198"/>
    <w:rsid w:val="0717727A"/>
    <w:rsid w:val="077B6278"/>
    <w:rsid w:val="08474F94"/>
    <w:rsid w:val="0AC0375B"/>
    <w:rsid w:val="0E387FF2"/>
    <w:rsid w:val="10FD107F"/>
    <w:rsid w:val="13555AF3"/>
    <w:rsid w:val="164A1DB7"/>
    <w:rsid w:val="19B26330"/>
    <w:rsid w:val="1B313343"/>
    <w:rsid w:val="1BF06014"/>
    <w:rsid w:val="1C5F62D8"/>
    <w:rsid w:val="1E71613D"/>
    <w:rsid w:val="1E8F3403"/>
    <w:rsid w:val="1E9152A2"/>
    <w:rsid w:val="21BE6583"/>
    <w:rsid w:val="23C70972"/>
    <w:rsid w:val="250A2143"/>
    <w:rsid w:val="25E438E8"/>
    <w:rsid w:val="269936B5"/>
    <w:rsid w:val="2AAE3125"/>
    <w:rsid w:val="2BA61539"/>
    <w:rsid w:val="302A31A4"/>
    <w:rsid w:val="315248EC"/>
    <w:rsid w:val="33281B72"/>
    <w:rsid w:val="33B031B6"/>
    <w:rsid w:val="340A018D"/>
    <w:rsid w:val="35575444"/>
    <w:rsid w:val="36F9742D"/>
    <w:rsid w:val="37471F02"/>
    <w:rsid w:val="3F801B36"/>
    <w:rsid w:val="42183BB4"/>
    <w:rsid w:val="42942910"/>
    <w:rsid w:val="43EE45EB"/>
    <w:rsid w:val="45A869F3"/>
    <w:rsid w:val="45E719DB"/>
    <w:rsid w:val="4773458E"/>
    <w:rsid w:val="47F20AEF"/>
    <w:rsid w:val="4C146A09"/>
    <w:rsid w:val="4CC865C5"/>
    <w:rsid w:val="4E9943EB"/>
    <w:rsid w:val="537A390F"/>
    <w:rsid w:val="55906A16"/>
    <w:rsid w:val="5DE62F9D"/>
    <w:rsid w:val="623B1ED6"/>
    <w:rsid w:val="6690579C"/>
    <w:rsid w:val="69A669A4"/>
    <w:rsid w:val="6D6C1F8A"/>
    <w:rsid w:val="71E525FC"/>
    <w:rsid w:val="730A3CFD"/>
    <w:rsid w:val="7515187F"/>
    <w:rsid w:val="7535603A"/>
    <w:rsid w:val="78370DF4"/>
    <w:rsid w:val="7CAA2A01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赵子彦</cp:lastModifiedBy>
  <dcterms:modified xsi:type="dcterms:W3CDTF">2021-08-16T05:13:55Z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E3EDDA60C538404A89B5DFD85E836261</vt:lpwstr>
  </property>
</Properties>
</file>